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33" w:rsidRDefault="000D22AF">
      <w:pPr>
        <w:rPr>
          <w:b/>
          <w:sz w:val="22"/>
        </w:rPr>
      </w:pPr>
      <w:bookmarkStart w:id="0" w:name="Text4"/>
      <w:r>
        <w:rPr>
          <w:b/>
          <w:sz w:val="22"/>
        </w:rPr>
        <w:t xml:space="preserve">Stellungnahme zur </w:t>
      </w:r>
      <w:bookmarkEnd w:id="0"/>
      <w:r w:rsidR="008A083F" w:rsidRPr="008A083F">
        <w:rPr>
          <w:b/>
          <w:sz w:val="22"/>
        </w:rPr>
        <w:t>Rehabilitations-Richtlinie (Re</w:t>
      </w:r>
      <w:r w:rsidR="00A30DEA">
        <w:rPr>
          <w:b/>
          <w:sz w:val="22"/>
        </w:rPr>
        <w:t>-RL): Vereinfachung Verordnungs</w:t>
      </w:r>
      <w:r w:rsidR="008A083F" w:rsidRPr="008A083F">
        <w:rPr>
          <w:b/>
          <w:sz w:val="22"/>
        </w:rPr>
        <w:t>verfahren / Qualifikationsanforderungen</w:t>
      </w:r>
    </w:p>
    <w:p w:rsidR="00235433" w:rsidRPr="00235433" w:rsidRDefault="00235433">
      <w:pPr>
        <w:rPr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521"/>
      </w:tblGrid>
      <w:tr w:rsidR="00E15CC0" w:rsidRPr="0037483B" w:rsidTr="0037483B">
        <w:trPr>
          <w:tblHeader/>
        </w:trPr>
        <w:tc>
          <w:tcPr>
            <w:tcW w:w="9606" w:type="dxa"/>
            <w:gridSpan w:val="2"/>
          </w:tcPr>
          <w:p w:rsidR="00E15CC0" w:rsidRPr="0037483B" w:rsidRDefault="00C8434F" w:rsidP="0037483B">
            <w:pPr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Bundesverband Deutscher Privatkliniken e.V.</w:t>
            </w:r>
          </w:p>
        </w:tc>
      </w:tr>
      <w:tr w:rsidR="00954FFF" w:rsidRPr="0037483B" w:rsidTr="0037483B">
        <w:trPr>
          <w:tblHeader/>
        </w:trPr>
        <w:tc>
          <w:tcPr>
            <w:tcW w:w="9606" w:type="dxa"/>
            <w:gridSpan w:val="2"/>
          </w:tcPr>
          <w:p w:rsidR="00954FFF" w:rsidRPr="0037483B" w:rsidRDefault="00152FDB" w:rsidP="0037483B">
            <w:pPr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C8434F">
              <w:rPr>
                <w:b/>
                <w:sz w:val="22"/>
              </w:rPr>
              <w:t>.06.2015</w:t>
            </w:r>
          </w:p>
        </w:tc>
      </w:tr>
      <w:tr w:rsidR="003F55FB" w:rsidRPr="0037483B" w:rsidTr="0037483B">
        <w:tc>
          <w:tcPr>
            <w:tcW w:w="3085" w:type="dxa"/>
          </w:tcPr>
          <w:p w:rsidR="003F55FB" w:rsidRPr="0037483B" w:rsidRDefault="004304DE" w:rsidP="0037483B">
            <w:pPr>
              <w:spacing w:before="20" w:after="20"/>
              <w:rPr>
                <w:b/>
                <w:sz w:val="22"/>
              </w:rPr>
            </w:pPr>
            <w:r w:rsidRPr="0037483B">
              <w:rPr>
                <w:b/>
                <w:sz w:val="22"/>
              </w:rPr>
              <w:t>Stellungnahme</w:t>
            </w:r>
            <w:r w:rsidR="003F55FB" w:rsidRPr="0037483B">
              <w:rPr>
                <w:b/>
                <w:sz w:val="22"/>
              </w:rPr>
              <w:t xml:space="preserve"> / Änderungsvorschlag</w:t>
            </w:r>
          </w:p>
        </w:tc>
        <w:tc>
          <w:tcPr>
            <w:tcW w:w="6521" w:type="dxa"/>
          </w:tcPr>
          <w:p w:rsidR="003F55FB" w:rsidRPr="0037483B" w:rsidRDefault="003F55FB" w:rsidP="0037483B">
            <w:pPr>
              <w:spacing w:before="20" w:after="20"/>
              <w:rPr>
                <w:b/>
                <w:sz w:val="22"/>
              </w:rPr>
            </w:pPr>
            <w:r w:rsidRPr="0037483B">
              <w:rPr>
                <w:b/>
                <w:sz w:val="22"/>
              </w:rPr>
              <w:t>Begründung</w:t>
            </w:r>
          </w:p>
        </w:tc>
      </w:tr>
      <w:tr w:rsidR="003F55FB" w:rsidRPr="0037483B" w:rsidTr="0037483B">
        <w:tc>
          <w:tcPr>
            <w:tcW w:w="3085" w:type="dxa"/>
          </w:tcPr>
          <w:p w:rsidR="00C8434F" w:rsidRDefault="00C8434F" w:rsidP="00C8434F">
            <w:pPr>
              <w:spacing w:before="20" w:after="20"/>
              <w:rPr>
                <w:sz w:val="22"/>
              </w:rPr>
            </w:pPr>
            <w:bookmarkStart w:id="1" w:name="Text2"/>
            <w:r>
              <w:rPr>
                <w:sz w:val="22"/>
              </w:rPr>
              <w:t>Zu § 6 Abs. 1:</w:t>
            </w:r>
          </w:p>
          <w:p w:rsidR="00C8434F" w:rsidRDefault="00C8434F" w:rsidP="00C8434F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Wir begrüßen die Änderung</w:t>
            </w:r>
            <w:r w:rsidR="00152FDB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8C6F01">
              <w:rPr>
                <w:sz w:val="22"/>
              </w:rPr>
              <w:t xml:space="preserve">das </w:t>
            </w:r>
            <w:r>
              <w:rPr>
                <w:sz w:val="22"/>
              </w:rPr>
              <w:t>zweistufige Verordnungsverfahren</w:t>
            </w:r>
            <w:r w:rsidR="008C6F01">
              <w:rPr>
                <w:sz w:val="22"/>
              </w:rPr>
              <w:t xml:space="preserve"> </w:t>
            </w:r>
            <w:r w:rsidR="007720F9">
              <w:rPr>
                <w:sz w:val="22"/>
              </w:rPr>
              <w:t>abzuschaffen</w:t>
            </w:r>
            <w:r>
              <w:rPr>
                <w:sz w:val="22"/>
              </w:rPr>
              <w:t xml:space="preserve">. </w:t>
            </w:r>
          </w:p>
          <w:p w:rsidR="00473355" w:rsidRDefault="00473355" w:rsidP="00C8434F">
            <w:pPr>
              <w:spacing w:before="20" w:after="20"/>
              <w:rPr>
                <w:sz w:val="22"/>
              </w:rPr>
            </w:pPr>
          </w:p>
          <w:p w:rsidR="003F55FB" w:rsidRPr="0037483B" w:rsidRDefault="00C8434F" w:rsidP="00C8434F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Wir schlagen vor, die Fußnote beizubehalten.  </w:t>
            </w:r>
            <w:bookmarkEnd w:id="1"/>
          </w:p>
        </w:tc>
        <w:tc>
          <w:tcPr>
            <w:tcW w:w="6521" w:type="dxa"/>
          </w:tcPr>
          <w:p w:rsidR="007720F9" w:rsidRDefault="00DC3FDE" w:rsidP="008C6F01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Das </w:t>
            </w:r>
            <w:r w:rsidR="0075075B">
              <w:rPr>
                <w:sz w:val="22"/>
              </w:rPr>
              <w:t xml:space="preserve">derzeitige </w:t>
            </w:r>
            <w:r>
              <w:rPr>
                <w:sz w:val="22"/>
              </w:rPr>
              <w:t xml:space="preserve">Muster 60 steht dem Grundsatz des einfachen Zugangs zur Teilhabe entgegen. </w:t>
            </w:r>
            <w:r w:rsidR="007720F9">
              <w:rPr>
                <w:sz w:val="22"/>
              </w:rPr>
              <w:t>Das zweistufige Antragsverfahren führt zu unnötigen Verzögerungen bei der Antragstellung. Vertragsärzte sind in der Lage, die Verordnung beim richtigen Reha-Träger zu stellen.</w:t>
            </w:r>
            <w:r>
              <w:rPr>
                <w:sz w:val="22"/>
              </w:rPr>
              <w:t xml:space="preserve"> Zudem sind Anträge, die bei einem unzuständigen Leistungsträger gestellt werden</w:t>
            </w:r>
            <w:r w:rsidR="0083748D">
              <w:rPr>
                <w:sz w:val="22"/>
              </w:rPr>
              <w:t>,</w:t>
            </w:r>
            <w:r>
              <w:rPr>
                <w:sz w:val="22"/>
              </w:rPr>
              <w:t xml:space="preserve"> unverzüglich an den zuständigen Leistungsträger weiterzuleiten.  </w:t>
            </w:r>
          </w:p>
          <w:p w:rsidR="007720F9" w:rsidRDefault="007720F9" w:rsidP="008C6F01">
            <w:pPr>
              <w:spacing w:before="20" w:after="20"/>
              <w:rPr>
                <w:sz w:val="22"/>
              </w:rPr>
            </w:pPr>
          </w:p>
          <w:p w:rsidR="003F55FB" w:rsidRDefault="00C8434F" w:rsidP="008C6F01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Durch die Änderung des Verordnungsverfahrens von einem </w:t>
            </w:r>
            <w:r w:rsidR="00D5420C">
              <w:rPr>
                <w:sz w:val="22"/>
              </w:rPr>
              <w:t>z</w:t>
            </w:r>
            <w:r w:rsidR="008C6F01">
              <w:rPr>
                <w:sz w:val="22"/>
              </w:rPr>
              <w:t xml:space="preserve">weistufigen zu einem </w:t>
            </w:r>
            <w:r w:rsidR="00D5420C">
              <w:rPr>
                <w:sz w:val="22"/>
              </w:rPr>
              <w:t>e</w:t>
            </w:r>
            <w:r>
              <w:rPr>
                <w:sz w:val="22"/>
              </w:rPr>
              <w:t xml:space="preserve">instufigen </w:t>
            </w:r>
            <w:r w:rsidR="00D5420C">
              <w:rPr>
                <w:sz w:val="22"/>
              </w:rPr>
              <w:t xml:space="preserve">Verfahren </w:t>
            </w:r>
            <w:r>
              <w:rPr>
                <w:sz w:val="22"/>
              </w:rPr>
              <w:t xml:space="preserve">entfällt </w:t>
            </w:r>
            <w:r w:rsidR="008C6F01">
              <w:rPr>
                <w:sz w:val="22"/>
              </w:rPr>
              <w:t>aus unserer Sicht nicht</w:t>
            </w:r>
            <w:r w:rsidR="00D5420C">
              <w:rPr>
                <w:sz w:val="22"/>
              </w:rPr>
              <w:t xml:space="preserve"> der Bedarf nach einem </w:t>
            </w:r>
            <w:r>
              <w:rPr>
                <w:sz w:val="22"/>
              </w:rPr>
              <w:t>trägerübergreifende</w:t>
            </w:r>
            <w:r w:rsidR="00D5420C">
              <w:rPr>
                <w:sz w:val="22"/>
              </w:rPr>
              <w:t>n</w:t>
            </w:r>
            <w:r>
              <w:rPr>
                <w:sz w:val="22"/>
              </w:rPr>
              <w:t xml:space="preserve"> vereinheitlichte</w:t>
            </w:r>
            <w:r w:rsidR="00D5420C">
              <w:rPr>
                <w:sz w:val="22"/>
              </w:rPr>
              <w:t>n</w:t>
            </w:r>
            <w:r>
              <w:rPr>
                <w:sz w:val="22"/>
              </w:rPr>
              <w:t xml:space="preserve"> Verordnungsvordruck/Befundbericht</w:t>
            </w:r>
            <w:r w:rsidR="00D5420C">
              <w:rPr>
                <w:sz w:val="22"/>
              </w:rPr>
              <w:t>. An diesem</w:t>
            </w:r>
            <w:r>
              <w:rPr>
                <w:sz w:val="22"/>
              </w:rPr>
              <w:t xml:space="preserve"> Ziel sollte festgehalten werden.</w:t>
            </w:r>
            <w:bookmarkStart w:id="2" w:name="_GoBack"/>
            <w:bookmarkEnd w:id="2"/>
          </w:p>
          <w:p w:rsidR="00DD4D4E" w:rsidRPr="0037483B" w:rsidRDefault="00DD4D4E" w:rsidP="008C6F01">
            <w:pPr>
              <w:spacing w:before="20" w:after="20"/>
              <w:rPr>
                <w:sz w:val="22"/>
              </w:rPr>
            </w:pPr>
          </w:p>
        </w:tc>
      </w:tr>
      <w:tr w:rsidR="003F55FB" w:rsidRPr="0037483B" w:rsidTr="0037483B">
        <w:tc>
          <w:tcPr>
            <w:tcW w:w="3085" w:type="dxa"/>
          </w:tcPr>
          <w:p w:rsidR="003F55FB" w:rsidRDefault="004F25E6" w:rsidP="0037483B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Zu § 6 Abs. 3:</w:t>
            </w:r>
          </w:p>
          <w:p w:rsidR="004F25E6" w:rsidRPr="0037483B" w:rsidRDefault="00371078" w:rsidP="008C6F01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Wir schlagen vor, nach dem Wort „Zuständigkeit“ </w:t>
            </w:r>
            <w:r w:rsidR="008C6F01">
              <w:rPr>
                <w:sz w:val="22"/>
              </w:rPr>
              <w:t>einen Punkt zu setzen</w:t>
            </w:r>
            <w:r>
              <w:rPr>
                <w:sz w:val="22"/>
              </w:rPr>
              <w:t xml:space="preserve"> und den Rest des Satzes zu streichen.</w:t>
            </w:r>
          </w:p>
        </w:tc>
        <w:tc>
          <w:tcPr>
            <w:tcW w:w="6521" w:type="dxa"/>
          </w:tcPr>
          <w:p w:rsidR="003F55FB" w:rsidRPr="0037483B" w:rsidRDefault="001D62B4" w:rsidP="0037483B">
            <w:pPr>
              <w:spacing w:before="20" w:after="20"/>
              <w:rPr>
                <w:sz w:val="22"/>
              </w:rPr>
            </w:pPr>
            <w:r w:rsidRPr="001D62B4">
              <w:rPr>
                <w:sz w:val="22"/>
              </w:rPr>
              <w:t>Die Verordnung des niedergelassenen Arztes muss ausreichen, um eine Reha-Maßnahme einzuleiten. In der Verordnung werden dezidiert die Voraussetzung für die Gewährung von Rehabilitationsleistungen erfasst und überprüft.</w:t>
            </w:r>
            <w:r>
              <w:t xml:space="preserve"> </w:t>
            </w:r>
            <w:r w:rsidRPr="001D62B4">
              <w:rPr>
                <w:sz w:val="22"/>
              </w:rPr>
              <w:t>Diese Feststellungen sind medizinischer Natur und können ausschließlich durch Ärzte getroffen werden. Es muss sichergestellt werden, dass dieser medizinischen Einschätzung folgend auch die für notwendig befunden</w:t>
            </w:r>
            <w:r w:rsidR="0083748D">
              <w:rPr>
                <w:sz w:val="22"/>
              </w:rPr>
              <w:t>en</w:t>
            </w:r>
            <w:r w:rsidRPr="001D62B4">
              <w:rPr>
                <w:sz w:val="22"/>
              </w:rPr>
              <w:t xml:space="preserve"> Rehabilitationsleistungen erbracht werden. Die Krankenkassen haben als Verwaltungsbehörden keinen Beurteilungsspielraum für medizinische Tatbestände bei Rehabilitationsbedürftigkeit, Rehabilitationsfähigkeit und Rehabilitationsprognose.</w:t>
            </w:r>
          </w:p>
        </w:tc>
      </w:tr>
      <w:tr w:rsidR="003F55FB" w:rsidRPr="0037483B" w:rsidTr="0037483B">
        <w:tc>
          <w:tcPr>
            <w:tcW w:w="3085" w:type="dxa"/>
          </w:tcPr>
          <w:p w:rsidR="003F55FB" w:rsidRDefault="00274AD8" w:rsidP="0037483B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Zu § 11:</w:t>
            </w:r>
          </w:p>
          <w:p w:rsidR="00274AD8" w:rsidRPr="0037483B" w:rsidRDefault="00274AD8" w:rsidP="0083748D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Wir begrüßen die Streichung des Qualifi</w:t>
            </w:r>
            <w:r w:rsidR="0083748D">
              <w:rPr>
                <w:sz w:val="22"/>
              </w:rPr>
              <w:t>kations</w:t>
            </w:r>
            <w:r>
              <w:rPr>
                <w:sz w:val="22"/>
              </w:rPr>
              <w:t>erfordernisses als Voraussetzung für die Verordnungsberechtigung.</w:t>
            </w:r>
          </w:p>
        </w:tc>
        <w:tc>
          <w:tcPr>
            <w:tcW w:w="6521" w:type="dxa"/>
          </w:tcPr>
          <w:p w:rsidR="0083748D" w:rsidRDefault="00274AD8" w:rsidP="007720F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Das </w:t>
            </w:r>
            <w:r w:rsidR="0075075B">
              <w:rPr>
                <w:sz w:val="22"/>
              </w:rPr>
              <w:t xml:space="preserve">derzeitige </w:t>
            </w:r>
            <w:r>
              <w:rPr>
                <w:sz w:val="22"/>
              </w:rPr>
              <w:t>Qualifi</w:t>
            </w:r>
            <w:r w:rsidR="00950737">
              <w:rPr>
                <w:sz w:val="22"/>
              </w:rPr>
              <w:t>kations</w:t>
            </w:r>
            <w:r>
              <w:rPr>
                <w:sz w:val="22"/>
              </w:rPr>
              <w:t xml:space="preserve">erfordernis als Verordnungsvoraussetzung entspricht nicht dem Gesetz. Nach § 73 SGB V kann jeder Vertragsarzt Rehabilitationsleistungen verordnen. </w:t>
            </w:r>
          </w:p>
          <w:p w:rsidR="003F55FB" w:rsidRPr="0037483B" w:rsidRDefault="00D64159" w:rsidP="0075075B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Derzeit sind lediglich etwa 30% aller Vertragsärzte verordnungsberechtigt. </w:t>
            </w:r>
            <w:r w:rsidR="00DD4D4E" w:rsidRPr="00DD4D4E">
              <w:rPr>
                <w:sz w:val="22"/>
              </w:rPr>
              <w:t>Versicherte, deren behandelnder Arzt nicht über eine entsprechende Qualifi</w:t>
            </w:r>
            <w:r w:rsidR="0083748D">
              <w:rPr>
                <w:sz w:val="22"/>
              </w:rPr>
              <w:t>kation</w:t>
            </w:r>
            <w:r w:rsidR="00DD4D4E" w:rsidRPr="00DD4D4E">
              <w:rPr>
                <w:sz w:val="22"/>
              </w:rPr>
              <w:t xml:space="preserve"> verfügt, haben Schwierigkeiten, einen berechtigten Arzt zu finden. Sie müssen unter Umständen weitere Wege überbrücken, um einen mit ihrer Krankengeschichte nicht vertrauten Arzt aufzusuchen.</w:t>
            </w:r>
            <w:r w:rsidR="00DD4D4E">
              <w:rPr>
                <w:sz w:val="22"/>
              </w:rPr>
              <w:t xml:space="preserve"> Dies stellt eine unnötige Hürde dar, die eine frühzeitige und bedarfsgerechte Leistung </w:t>
            </w:r>
            <w:r w:rsidR="007720F9">
              <w:rPr>
                <w:sz w:val="22"/>
              </w:rPr>
              <w:t>ver</w:t>
            </w:r>
            <w:r w:rsidR="00DD4D4E">
              <w:rPr>
                <w:sz w:val="22"/>
              </w:rPr>
              <w:t xml:space="preserve">hindern. </w:t>
            </w:r>
          </w:p>
        </w:tc>
      </w:tr>
    </w:tbl>
    <w:p w:rsidR="002A5B24" w:rsidRDefault="002A5B24">
      <w:pPr>
        <w:rPr>
          <w:sz w:val="22"/>
        </w:rPr>
      </w:pPr>
    </w:p>
    <w:sectPr w:rsidR="002A5B24" w:rsidSect="00D464F2">
      <w:head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4F" w:rsidRDefault="00C8434F" w:rsidP="00235433">
      <w:pPr>
        <w:spacing w:after="0"/>
      </w:pPr>
      <w:r>
        <w:separator/>
      </w:r>
    </w:p>
  </w:endnote>
  <w:endnote w:type="continuationSeparator" w:id="0">
    <w:p w:rsidR="00C8434F" w:rsidRDefault="00C8434F" w:rsidP="00235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4F" w:rsidRDefault="00C8434F" w:rsidP="00235433">
      <w:pPr>
        <w:spacing w:after="0"/>
      </w:pPr>
      <w:r>
        <w:separator/>
      </w:r>
    </w:p>
  </w:footnote>
  <w:footnote w:type="continuationSeparator" w:id="0">
    <w:p w:rsidR="00C8434F" w:rsidRDefault="00C8434F" w:rsidP="0023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FF" w:rsidRDefault="00F449EA" w:rsidP="00954FFF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5156835</wp:posOffset>
              </wp:positionH>
              <wp:positionV relativeFrom="paragraph">
                <wp:posOffset>-123825</wp:posOffset>
              </wp:positionV>
              <wp:extent cx="7620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9EA" w:rsidRDefault="00F449EA">
                          <w:r>
                            <w:t>Anlage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6.05pt;margin-top:-9.75pt;width:6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" filled="f" stroked="f">
              <v:textbox style="mso-fit-shape-to-text:t">
                <w:txbxContent>
                  <w:p w:rsidR="00F449EA" w:rsidRDefault="00F449EA">
                    <w:r>
                      <w:t>Anlage 4</w:t>
                    </w:r>
                  </w:p>
                </w:txbxContent>
              </v:textbox>
            </v:shape>
          </w:pict>
        </mc:Fallback>
      </mc:AlternateContent>
    </w:r>
    <w:r w:rsidR="00845F22">
      <w:rPr>
        <w:b/>
        <w:noProof/>
        <w:lang w:eastAsia="de-DE"/>
      </w:rPr>
      <w:drawing>
        <wp:inline distT="0" distB="0" distL="0" distR="0">
          <wp:extent cx="1819275" cy="685800"/>
          <wp:effectExtent l="0" t="0" r="9525" b="0"/>
          <wp:docPr id="1" name="Bild 1" descr="logo_g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FF" w:rsidRDefault="00954FFF" w:rsidP="00F726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4F"/>
    <w:rsid w:val="000D22AF"/>
    <w:rsid w:val="00114C74"/>
    <w:rsid w:val="00122DEE"/>
    <w:rsid w:val="0012655A"/>
    <w:rsid w:val="00152FDB"/>
    <w:rsid w:val="00157BB0"/>
    <w:rsid w:val="001D62B4"/>
    <w:rsid w:val="0020025F"/>
    <w:rsid w:val="00235433"/>
    <w:rsid w:val="00274AD8"/>
    <w:rsid w:val="002A5B24"/>
    <w:rsid w:val="002C6ABB"/>
    <w:rsid w:val="002F320B"/>
    <w:rsid w:val="003004A0"/>
    <w:rsid w:val="003069E9"/>
    <w:rsid w:val="003634B9"/>
    <w:rsid w:val="00371078"/>
    <w:rsid w:val="0037483B"/>
    <w:rsid w:val="0038381B"/>
    <w:rsid w:val="003916C5"/>
    <w:rsid w:val="003D49BC"/>
    <w:rsid w:val="003F2EF1"/>
    <w:rsid w:val="003F55FB"/>
    <w:rsid w:val="0040454C"/>
    <w:rsid w:val="004304DE"/>
    <w:rsid w:val="00473355"/>
    <w:rsid w:val="004A4456"/>
    <w:rsid w:val="004F25E6"/>
    <w:rsid w:val="00577927"/>
    <w:rsid w:val="005A3C4A"/>
    <w:rsid w:val="00615C72"/>
    <w:rsid w:val="00671998"/>
    <w:rsid w:val="00671D5F"/>
    <w:rsid w:val="00685E31"/>
    <w:rsid w:val="006B34F3"/>
    <w:rsid w:val="006C6AF3"/>
    <w:rsid w:val="006F6243"/>
    <w:rsid w:val="00715F16"/>
    <w:rsid w:val="00715FB5"/>
    <w:rsid w:val="0075075B"/>
    <w:rsid w:val="007720F9"/>
    <w:rsid w:val="007D3BE2"/>
    <w:rsid w:val="007D74DB"/>
    <w:rsid w:val="007E47B6"/>
    <w:rsid w:val="0083748D"/>
    <w:rsid w:val="00845F22"/>
    <w:rsid w:val="008A083F"/>
    <w:rsid w:val="008B363E"/>
    <w:rsid w:val="008C2A73"/>
    <w:rsid w:val="008C6F01"/>
    <w:rsid w:val="008F6277"/>
    <w:rsid w:val="00905B66"/>
    <w:rsid w:val="00905DDA"/>
    <w:rsid w:val="00922594"/>
    <w:rsid w:val="00934795"/>
    <w:rsid w:val="00950737"/>
    <w:rsid w:val="00954FFF"/>
    <w:rsid w:val="00973704"/>
    <w:rsid w:val="00A13F46"/>
    <w:rsid w:val="00A165FA"/>
    <w:rsid w:val="00A30DEA"/>
    <w:rsid w:val="00A32F33"/>
    <w:rsid w:val="00AA1F60"/>
    <w:rsid w:val="00AD4B09"/>
    <w:rsid w:val="00AE2D28"/>
    <w:rsid w:val="00AE7ED9"/>
    <w:rsid w:val="00B40B3F"/>
    <w:rsid w:val="00B734C1"/>
    <w:rsid w:val="00BA23EC"/>
    <w:rsid w:val="00BC65E3"/>
    <w:rsid w:val="00BD5D3F"/>
    <w:rsid w:val="00C8434F"/>
    <w:rsid w:val="00CA3170"/>
    <w:rsid w:val="00CD2EBA"/>
    <w:rsid w:val="00D1618F"/>
    <w:rsid w:val="00D464F2"/>
    <w:rsid w:val="00D5420C"/>
    <w:rsid w:val="00D64159"/>
    <w:rsid w:val="00D85B1F"/>
    <w:rsid w:val="00DA4DF5"/>
    <w:rsid w:val="00DA78C7"/>
    <w:rsid w:val="00DC3FDE"/>
    <w:rsid w:val="00DD4D4E"/>
    <w:rsid w:val="00DF2278"/>
    <w:rsid w:val="00E005C4"/>
    <w:rsid w:val="00E15CC0"/>
    <w:rsid w:val="00E23197"/>
    <w:rsid w:val="00E859EB"/>
    <w:rsid w:val="00F05B2B"/>
    <w:rsid w:val="00F24F69"/>
    <w:rsid w:val="00F449EA"/>
    <w:rsid w:val="00F7265D"/>
    <w:rsid w:val="00FA119F"/>
    <w:rsid w:val="00FB6BB2"/>
    <w:rsid w:val="00FB7187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09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43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43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09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43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43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a\AppData\Local\Temp\Temp1_Anlagen%201-4%20zum%20SN-Verfahren_Re-RL_Vereinfachung%20VO-Verfahren_Quali.zip\Anlage%204_Formular-zur-Abgabe-Stellungnahm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4_Formular-zur-Abgabe-Stellungnahme.dotx</Template>
  <TotalTime>0</TotalTime>
  <Pages>1</Pages>
  <Words>297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Walch</dc:creator>
  <cp:lastModifiedBy>Karoline Körber</cp:lastModifiedBy>
  <cp:revision>12</cp:revision>
  <cp:lastPrinted>2015-06-30T09:40:00Z</cp:lastPrinted>
  <dcterms:created xsi:type="dcterms:W3CDTF">2015-06-26T07:30:00Z</dcterms:created>
  <dcterms:modified xsi:type="dcterms:W3CDTF">2015-07-02T14:21:00Z</dcterms:modified>
</cp:coreProperties>
</file>